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EFD9D" w14:textId="77777777" w:rsidR="008F1C7D" w:rsidRDefault="008F1C7D" w:rsidP="008F1C7D">
      <w:pPr>
        <w:spacing w:line="480" w:lineRule="auto"/>
        <w:jc w:val="center"/>
        <w:rPr>
          <w:rFonts w:ascii="Times New Roman" w:hAnsi="Times New Roman" w:cs="Times New Roman"/>
          <w:sz w:val="24"/>
          <w:szCs w:val="24"/>
        </w:rPr>
      </w:pPr>
    </w:p>
    <w:p w14:paraId="1084F66C" w14:textId="77777777" w:rsidR="008F1C7D" w:rsidRDefault="008F1C7D" w:rsidP="008F1C7D">
      <w:pPr>
        <w:spacing w:line="480" w:lineRule="auto"/>
        <w:jc w:val="center"/>
        <w:rPr>
          <w:rFonts w:ascii="Times New Roman" w:hAnsi="Times New Roman" w:cs="Times New Roman"/>
          <w:sz w:val="24"/>
          <w:szCs w:val="24"/>
        </w:rPr>
      </w:pPr>
    </w:p>
    <w:p w14:paraId="6AB3D219" w14:textId="77777777" w:rsidR="008F1C7D" w:rsidRDefault="008F1C7D" w:rsidP="008F1C7D">
      <w:pPr>
        <w:spacing w:line="480" w:lineRule="auto"/>
        <w:jc w:val="center"/>
        <w:rPr>
          <w:rFonts w:ascii="Times New Roman" w:hAnsi="Times New Roman" w:cs="Times New Roman"/>
          <w:sz w:val="24"/>
          <w:szCs w:val="24"/>
        </w:rPr>
      </w:pPr>
    </w:p>
    <w:p w14:paraId="1F827814" w14:textId="77777777" w:rsidR="008F1C7D" w:rsidRDefault="008F1C7D" w:rsidP="008F1C7D">
      <w:pPr>
        <w:spacing w:line="480" w:lineRule="auto"/>
        <w:jc w:val="center"/>
        <w:rPr>
          <w:rFonts w:ascii="Times New Roman" w:hAnsi="Times New Roman" w:cs="Times New Roman"/>
          <w:sz w:val="24"/>
          <w:szCs w:val="24"/>
        </w:rPr>
      </w:pPr>
    </w:p>
    <w:p w14:paraId="5FBB0561" w14:textId="77777777" w:rsidR="008F1C7D" w:rsidRDefault="008F1C7D" w:rsidP="008F1C7D">
      <w:pPr>
        <w:spacing w:line="480" w:lineRule="auto"/>
        <w:jc w:val="center"/>
        <w:rPr>
          <w:rFonts w:ascii="Times New Roman" w:hAnsi="Times New Roman" w:cs="Times New Roman"/>
          <w:sz w:val="24"/>
          <w:szCs w:val="24"/>
        </w:rPr>
      </w:pPr>
    </w:p>
    <w:p w14:paraId="2E51E681" w14:textId="6B456184" w:rsidR="00D00763" w:rsidRDefault="00E52A82" w:rsidP="008F1C7D">
      <w:pPr>
        <w:spacing w:line="480" w:lineRule="auto"/>
        <w:jc w:val="center"/>
        <w:rPr>
          <w:rFonts w:ascii="Times New Roman" w:hAnsi="Times New Roman" w:cs="Times New Roman"/>
          <w:sz w:val="24"/>
          <w:szCs w:val="24"/>
        </w:rPr>
      </w:pPr>
      <w:r w:rsidRPr="00955EE0">
        <w:rPr>
          <w:rFonts w:ascii="Times New Roman" w:hAnsi="Times New Roman" w:cs="Times New Roman"/>
          <w:sz w:val="24"/>
          <w:szCs w:val="24"/>
        </w:rPr>
        <w:t xml:space="preserve">Federal </w:t>
      </w:r>
      <w:r w:rsidR="00754296">
        <w:rPr>
          <w:rFonts w:ascii="Times New Roman" w:hAnsi="Times New Roman" w:cs="Times New Roman"/>
          <w:sz w:val="24"/>
          <w:szCs w:val="24"/>
        </w:rPr>
        <w:t>I</w:t>
      </w:r>
      <w:r w:rsidRPr="00955EE0">
        <w:rPr>
          <w:rFonts w:ascii="Times New Roman" w:hAnsi="Times New Roman" w:cs="Times New Roman"/>
          <w:sz w:val="24"/>
          <w:szCs w:val="24"/>
        </w:rPr>
        <w:t xml:space="preserve">ncome </w:t>
      </w:r>
      <w:bookmarkStart w:id="0" w:name="_GoBack"/>
      <w:bookmarkEnd w:id="0"/>
      <w:r w:rsidR="00754296">
        <w:rPr>
          <w:rFonts w:ascii="Times New Roman" w:hAnsi="Times New Roman" w:cs="Times New Roman"/>
          <w:sz w:val="24"/>
          <w:szCs w:val="24"/>
        </w:rPr>
        <w:t>T</w:t>
      </w:r>
      <w:r w:rsidRPr="00955EE0">
        <w:rPr>
          <w:rFonts w:ascii="Times New Roman" w:hAnsi="Times New Roman" w:cs="Times New Roman"/>
          <w:sz w:val="24"/>
          <w:szCs w:val="24"/>
        </w:rPr>
        <w:t>ax​ in U.S.A</w:t>
      </w:r>
    </w:p>
    <w:p w14:paraId="6175F2AA" w14:textId="7A16BBC4" w:rsidR="00346176" w:rsidRDefault="00E52A82" w:rsidP="008F1C7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52E5526" w14:textId="13CE4143" w:rsidR="00346176" w:rsidRDefault="00E52A82" w:rsidP="008F1C7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AF0CCE0" w14:textId="77777777" w:rsidR="008F1C7D" w:rsidRDefault="00E52A82" w:rsidP="008F1C7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AAA593D" w14:textId="77C1A556" w:rsidR="00346176" w:rsidRDefault="00E52A82" w:rsidP="008F1C7D">
      <w:pPr>
        <w:spacing w:line="480" w:lineRule="auto"/>
        <w:jc w:val="center"/>
        <w:rPr>
          <w:rFonts w:ascii="Times New Roman" w:hAnsi="Times New Roman" w:cs="Times New Roman"/>
          <w:sz w:val="24"/>
          <w:szCs w:val="24"/>
        </w:rPr>
      </w:pPr>
      <w:r w:rsidRPr="00346176">
        <w:rPr>
          <w:rFonts w:ascii="Times New Roman" w:hAnsi="Times New Roman" w:cs="Times New Roman"/>
          <w:sz w:val="24"/>
          <w:szCs w:val="24"/>
        </w:rPr>
        <w:lastRenderedPageBreak/>
        <w:t>Federal Income Tax​ in U.S.A</w:t>
      </w:r>
    </w:p>
    <w:p w14:paraId="7672ED62" w14:textId="42BAAB3C" w:rsidR="00955EE0" w:rsidRPr="00B67A8C" w:rsidRDefault="00E52A82" w:rsidP="008F1C7D">
      <w:pPr>
        <w:spacing w:line="480" w:lineRule="auto"/>
        <w:rPr>
          <w:rFonts w:ascii="Times New Roman" w:hAnsi="Times New Roman" w:cs="Times New Roman"/>
          <w:b/>
          <w:sz w:val="24"/>
          <w:szCs w:val="24"/>
        </w:rPr>
      </w:pPr>
      <w:r w:rsidRPr="00B67A8C">
        <w:rPr>
          <w:rFonts w:ascii="Times New Roman" w:hAnsi="Times New Roman" w:cs="Times New Roman"/>
          <w:b/>
          <w:sz w:val="24"/>
          <w:szCs w:val="24"/>
        </w:rPr>
        <w:t xml:space="preserve">Q 1: </w:t>
      </w:r>
      <w:r w:rsidR="009664F5" w:rsidRPr="00B67A8C">
        <w:rPr>
          <w:rFonts w:ascii="Times New Roman" w:hAnsi="Times New Roman" w:cs="Times New Roman"/>
          <w:b/>
          <w:sz w:val="24"/>
          <w:szCs w:val="24"/>
        </w:rPr>
        <w:t>Explain the difference between a tax credit and a tax deduction. Which would help a 28% tax bracket taxpayer most, a $2,000 deduction or a $400 credit? A 15 percent tax bracket taxpayer?</w:t>
      </w:r>
    </w:p>
    <w:p w14:paraId="0E47EC13" w14:textId="63347965" w:rsidR="008F6593" w:rsidRDefault="00E52A82" w:rsidP="008F1C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tax credit and tax liability reduce the income tax liability that one is supposed to incur or pay to the </w:t>
      </w:r>
      <w:r w:rsidR="0034485C">
        <w:rPr>
          <w:rFonts w:ascii="Times New Roman" w:hAnsi="Times New Roman" w:cs="Times New Roman"/>
          <w:sz w:val="24"/>
          <w:szCs w:val="24"/>
        </w:rPr>
        <w:t>Federal</w:t>
      </w:r>
      <w:r w:rsidR="004A1371">
        <w:rPr>
          <w:rFonts w:ascii="Times New Roman" w:hAnsi="Times New Roman" w:cs="Times New Roman"/>
          <w:sz w:val="24"/>
          <w:szCs w:val="24"/>
        </w:rPr>
        <w:t xml:space="preserve"> </w:t>
      </w:r>
      <w:r w:rsidR="0034485C">
        <w:rPr>
          <w:rFonts w:ascii="Times New Roman" w:hAnsi="Times New Roman" w:cs="Times New Roman"/>
          <w:sz w:val="24"/>
          <w:szCs w:val="24"/>
        </w:rPr>
        <w:t>Government</w:t>
      </w:r>
      <w:r>
        <w:rPr>
          <w:rFonts w:ascii="Times New Roman" w:hAnsi="Times New Roman" w:cs="Times New Roman"/>
          <w:sz w:val="24"/>
          <w:szCs w:val="24"/>
        </w:rPr>
        <w:t>.</w:t>
      </w:r>
      <w:r w:rsidR="006174B5">
        <w:rPr>
          <w:rFonts w:ascii="Times New Roman" w:hAnsi="Times New Roman" w:cs="Times New Roman"/>
          <w:sz w:val="24"/>
          <w:szCs w:val="24"/>
        </w:rPr>
        <w:t xml:space="preserve"> However, this does not mean that these two are the same. They are different despite both of them being capable of reducing the amount of income tax liability in the United States of America</w:t>
      </w:r>
      <w:r w:rsidR="00884418">
        <w:rPr>
          <w:rFonts w:ascii="Times New Roman" w:hAnsi="Times New Roman" w:cs="Times New Roman"/>
          <w:sz w:val="24"/>
          <w:szCs w:val="24"/>
        </w:rPr>
        <w:t xml:space="preserve"> (</w:t>
      </w:r>
      <w:r w:rsidR="00884418" w:rsidRPr="00884418">
        <w:rPr>
          <w:rFonts w:ascii="Times New Roman" w:hAnsi="Times New Roman" w:cs="Times New Roman"/>
          <w:sz w:val="24"/>
          <w:szCs w:val="24"/>
        </w:rPr>
        <w:t>US Tax Center at IRS</w:t>
      </w:r>
      <w:r w:rsidR="00884418">
        <w:rPr>
          <w:rFonts w:ascii="Times New Roman" w:hAnsi="Times New Roman" w:cs="Times New Roman"/>
          <w:sz w:val="24"/>
          <w:szCs w:val="24"/>
        </w:rPr>
        <w:t xml:space="preserve">, </w:t>
      </w:r>
      <w:r w:rsidR="00884418" w:rsidRPr="00884418">
        <w:rPr>
          <w:rFonts w:ascii="Times New Roman" w:hAnsi="Times New Roman" w:cs="Times New Roman"/>
          <w:sz w:val="24"/>
          <w:szCs w:val="24"/>
        </w:rPr>
        <w:t>2018)</w:t>
      </w:r>
      <w:r w:rsidR="006174B5">
        <w:rPr>
          <w:rFonts w:ascii="Times New Roman" w:hAnsi="Times New Roman" w:cs="Times New Roman"/>
          <w:sz w:val="24"/>
          <w:szCs w:val="24"/>
        </w:rPr>
        <w:t xml:space="preserve">. The main difference between tax credit and tax deductions is that tax credits reduce the tax </w:t>
      </w:r>
      <w:r w:rsidR="00D02CFF">
        <w:rPr>
          <w:rFonts w:ascii="Times New Roman" w:hAnsi="Times New Roman" w:cs="Times New Roman"/>
          <w:sz w:val="24"/>
          <w:szCs w:val="24"/>
        </w:rPr>
        <w:t>liability</w:t>
      </w:r>
      <w:r w:rsidR="006174B5">
        <w:rPr>
          <w:rFonts w:ascii="Times New Roman" w:hAnsi="Times New Roman" w:cs="Times New Roman"/>
          <w:sz w:val="24"/>
          <w:szCs w:val="24"/>
        </w:rPr>
        <w:t xml:space="preserve"> </w:t>
      </w:r>
      <w:r w:rsidR="005302C7">
        <w:rPr>
          <w:rFonts w:ascii="Times New Roman" w:hAnsi="Times New Roman" w:cs="Times New Roman"/>
          <w:sz w:val="24"/>
          <w:szCs w:val="24"/>
        </w:rPr>
        <w:t xml:space="preserve">of a taxpayer </w:t>
      </w:r>
      <w:r w:rsidR="006174B5">
        <w:rPr>
          <w:rFonts w:ascii="Times New Roman" w:hAnsi="Times New Roman" w:cs="Times New Roman"/>
          <w:sz w:val="24"/>
          <w:szCs w:val="24"/>
        </w:rPr>
        <w:t>dollar</w:t>
      </w:r>
      <w:r w:rsidR="00D02CFF">
        <w:rPr>
          <w:rFonts w:ascii="Times New Roman" w:hAnsi="Times New Roman" w:cs="Times New Roman"/>
          <w:sz w:val="24"/>
          <w:szCs w:val="24"/>
        </w:rPr>
        <w:t xml:space="preserve"> for dollar</w:t>
      </w:r>
      <w:r w:rsidR="00FC5C79">
        <w:rPr>
          <w:rFonts w:ascii="Times New Roman" w:hAnsi="Times New Roman" w:cs="Times New Roman"/>
          <w:sz w:val="24"/>
          <w:szCs w:val="24"/>
        </w:rPr>
        <w:t xml:space="preserve"> or by the same amount (</w:t>
      </w:r>
      <w:r w:rsidR="00FC5C79" w:rsidRPr="00FC5C79">
        <w:rPr>
          <w:rFonts w:ascii="Times New Roman" w:hAnsi="Times New Roman" w:cs="Times New Roman"/>
          <w:sz w:val="24"/>
          <w:szCs w:val="24"/>
        </w:rPr>
        <w:t>US Tax Center at IRS</w:t>
      </w:r>
      <w:r w:rsidR="00FC5C79">
        <w:rPr>
          <w:rFonts w:ascii="Times New Roman" w:hAnsi="Times New Roman" w:cs="Times New Roman"/>
          <w:sz w:val="24"/>
          <w:szCs w:val="24"/>
        </w:rPr>
        <w:t xml:space="preserve">, </w:t>
      </w:r>
      <w:r w:rsidR="00FC5C79" w:rsidRPr="00FC5C79">
        <w:rPr>
          <w:rFonts w:ascii="Times New Roman" w:hAnsi="Times New Roman" w:cs="Times New Roman"/>
          <w:sz w:val="24"/>
          <w:szCs w:val="24"/>
        </w:rPr>
        <w:t>2018)</w:t>
      </w:r>
      <w:r w:rsidR="00D02CFF">
        <w:rPr>
          <w:rFonts w:ascii="Times New Roman" w:hAnsi="Times New Roman" w:cs="Times New Roman"/>
          <w:sz w:val="24"/>
          <w:szCs w:val="24"/>
        </w:rPr>
        <w:t xml:space="preserve">. Meaning that a one dollar tax credit reduces tax liability by a dollar. For </w:t>
      </w:r>
      <w:r w:rsidR="005302C7">
        <w:rPr>
          <w:rFonts w:ascii="Times New Roman" w:hAnsi="Times New Roman" w:cs="Times New Roman"/>
          <w:sz w:val="24"/>
          <w:szCs w:val="24"/>
        </w:rPr>
        <w:t>example,</w:t>
      </w:r>
      <w:r w:rsidR="00D02CFF">
        <w:rPr>
          <w:rFonts w:ascii="Times New Roman" w:hAnsi="Times New Roman" w:cs="Times New Roman"/>
          <w:sz w:val="24"/>
          <w:szCs w:val="24"/>
        </w:rPr>
        <w:t xml:space="preserve"> </w:t>
      </w:r>
      <w:r w:rsidR="005302C7">
        <w:rPr>
          <w:rFonts w:ascii="Times New Roman" w:hAnsi="Times New Roman" w:cs="Times New Roman"/>
          <w:sz w:val="24"/>
          <w:szCs w:val="24"/>
        </w:rPr>
        <w:t xml:space="preserve">a tax credit of $500 reduces the tax liability of a taxpayer by $500. This means that a tax credit of $500 saves the taxpayer $500. On the other hand, tax deductions </w:t>
      </w:r>
      <w:r w:rsidR="00C4115A">
        <w:rPr>
          <w:rFonts w:ascii="Times New Roman" w:hAnsi="Times New Roman" w:cs="Times New Roman"/>
          <w:sz w:val="24"/>
          <w:szCs w:val="24"/>
        </w:rPr>
        <w:t>lower the taxable income and are consequently equated to the percentage of the tax bracket of the taxpayer</w:t>
      </w:r>
      <w:r w:rsidR="00FC5C79">
        <w:rPr>
          <w:rFonts w:ascii="Times New Roman" w:hAnsi="Times New Roman" w:cs="Times New Roman"/>
          <w:sz w:val="24"/>
          <w:szCs w:val="24"/>
        </w:rPr>
        <w:t xml:space="preserve"> (</w:t>
      </w:r>
      <w:r w:rsidR="00FC5C79" w:rsidRPr="00FC5C79">
        <w:rPr>
          <w:rFonts w:ascii="Times New Roman" w:hAnsi="Times New Roman" w:cs="Times New Roman"/>
          <w:sz w:val="24"/>
          <w:szCs w:val="24"/>
        </w:rPr>
        <w:t>US Tax Center at IRS</w:t>
      </w:r>
      <w:r w:rsidR="00FC5C79">
        <w:rPr>
          <w:rFonts w:ascii="Times New Roman" w:hAnsi="Times New Roman" w:cs="Times New Roman"/>
          <w:sz w:val="24"/>
          <w:szCs w:val="24"/>
        </w:rPr>
        <w:t xml:space="preserve">, </w:t>
      </w:r>
      <w:r w:rsidR="00FC5C79" w:rsidRPr="00FC5C79">
        <w:rPr>
          <w:rFonts w:ascii="Times New Roman" w:hAnsi="Times New Roman" w:cs="Times New Roman"/>
          <w:sz w:val="24"/>
          <w:szCs w:val="24"/>
        </w:rPr>
        <w:t>2018)</w:t>
      </w:r>
      <w:r w:rsidR="00C4115A">
        <w:rPr>
          <w:rFonts w:ascii="Times New Roman" w:hAnsi="Times New Roman" w:cs="Times New Roman"/>
          <w:sz w:val="24"/>
          <w:szCs w:val="24"/>
        </w:rPr>
        <w:t>. This means that the tax reductions reduce the taxable income of the taxpayer by the percentage of the marginal tax bracket of the taxpayer</w:t>
      </w:r>
      <w:r w:rsidR="00AB5AF7">
        <w:rPr>
          <w:rFonts w:ascii="Times New Roman" w:hAnsi="Times New Roman" w:cs="Times New Roman"/>
          <w:sz w:val="24"/>
          <w:szCs w:val="24"/>
        </w:rPr>
        <w:t xml:space="preserve"> (</w:t>
      </w:r>
      <w:r w:rsidR="00AB5AF7" w:rsidRPr="00AB5AF7">
        <w:rPr>
          <w:rFonts w:ascii="Times New Roman" w:hAnsi="Times New Roman" w:cs="Times New Roman"/>
          <w:sz w:val="24"/>
          <w:szCs w:val="24"/>
        </w:rPr>
        <w:t>Bourassa &amp; Yin, 2008)</w:t>
      </w:r>
      <w:r w:rsidR="00C4115A">
        <w:rPr>
          <w:rFonts w:ascii="Times New Roman" w:hAnsi="Times New Roman" w:cs="Times New Roman"/>
          <w:sz w:val="24"/>
          <w:szCs w:val="24"/>
        </w:rPr>
        <w:t>. For example, if a taxpayer is in the 20% tax bracket, a tax reduction of $500 dollars reduces his or her taxable income by $100 (This is because 20% of $500 is $100).</w:t>
      </w:r>
    </w:p>
    <w:p w14:paraId="16BF9497" w14:textId="1C0D7445" w:rsidR="00C4115A" w:rsidRDefault="00E52A82" w:rsidP="008F1C7D">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Since tax credit reduces the tax liability itself dollar for dollar, it is subtracted directly from the tax amount owed to the IRS. Tax deductions, on the other hand, are subtracted from the gross income of t</w:t>
      </w:r>
      <w:r>
        <w:rPr>
          <w:rFonts w:ascii="Times New Roman" w:hAnsi="Times New Roman" w:cs="Times New Roman"/>
          <w:sz w:val="24"/>
          <w:szCs w:val="24"/>
        </w:rPr>
        <w:t>he taxpayer and that is why deductions reduce the taxable amount of the taxpayer</w:t>
      </w:r>
      <w:r w:rsidR="00830592">
        <w:rPr>
          <w:rFonts w:ascii="Times New Roman" w:hAnsi="Times New Roman" w:cs="Times New Roman"/>
          <w:sz w:val="24"/>
          <w:szCs w:val="24"/>
        </w:rPr>
        <w:t xml:space="preserve"> (</w:t>
      </w:r>
      <w:r w:rsidR="00830592" w:rsidRPr="00830592">
        <w:rPr>
          <w:rFonts w:ascii="Times New Roman" w:hAnsi="Times New Roman" w:cs="Times New Roman"/>
          <w:sz w:val="24"/>
          <w:szCs w:val="24"/>
        </w:rPr>
        <w:t>Bourassa &amp; Yin, 2008)</w:t>
      </w:r>
      <w:r>
        <w:rPr>
          <w:rFonts w:ascii="Times New Roman" w:hAnsi="Times New Roman" w:cs="Times New Roman"/>
          <w:sz w:val="24"/>
          <w:szCs w:val="24"/>
        </w:rPr>
        <w:t>.</w:t>
      </w:r>
    </w:p>
    <w:p w14:paraId="62094ED8" w14:textId="00BEF5C1" w:rsidR="004906CA" w:rsidRDefault="00E52A82" w:rsidP="008F1C7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For a 28% tax bracket taxpayer, $2,000 deductions will save him (0.28x$2,000</w:t>
      </w:r>
      <w:r w:rsidR="00615B7F">
        <w:rPr>
          <w:rFonts w:ascii="Times New Roman" w:hAnsi="Times New Roman" w:cs="Times New Roman"/>
          <w:sz w:val="24"/>
          <w:szCs w:val="24"/>
        </w:rPr>
        <w:t>=$560). This means that the 28% tax bracket taxpayer with $2,000 deductions will save $560. On the other hand, a $400 tax credit will save $400 because tax credits reduce amount owed dollar for dollar. Therefore, for a 28% tax bracket taxpayer, the $2,000 tax deduction would help most.</w:t>
      </w:r>
    </w:p>
    <w:p w14:paraId="38E6A0F7" w14:textId="51AE6D48" w:rsidR="00715102" w:rsidRDefault="00E52A82" w:rsidP="008F1C7D">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a 15% tax bracket taxpayer, $2,</w:t>
      </w:r>
      <w:r>
        <w:rPr>
          <w:rFonts w:ascii="Times New Roman" w:hAnsi="Times New Roman" w:cs="Times New Roman"/>
          <w:sz w:val="24"/>
          <w:szCs w:val="24"/>
        </w:rPr>
        <w:t>000 deductions will save (0.15x$2,000=$300). This means that for this taxpayer, a $2,000 tax deduction will save $300. On the other hand, a tax credit of $400 will save $400. Therefore, for a 15% tax bracket taxpayer, a tax credit of $400 would help most.</w:t>
      </w:r>
    </w:p>
    <w:p w14:paraId="13A3EF60" w14:textId="37F43EB1" w:rsidR="00186C4D" w:rsidRPr="00B67A8C" w:rsidRDefault="00E52A82" w:rsidP="008F1C7D">
      <w:pPr>
        <w:spacing w:line="480" w:lineRule="auto"/>
        <w:rPr>
          <w:rFonts w:ascii="Times New Roman" w:hAnsi="Times New Roman" w:cs="Times New Roman"/>
          <w:b/>
          <w:sz w:val="24"/>
          <w:szCs w:val="24"/>
        </w:rPr>
      </w:pPr>
      <w:r w:rsidRPr="00B67A8C">
        <w:rPr>
          <w:rFonts w:ascii="Times New Roman" w:hAnsi="Times New Roman" w:cs="Times New Roman"/>
          <w:b/>
          <w:sz w:val="24"/>
          <w:szCs w:val="24"/>
        </w:rPr>
        <w:t>Q 6: What criteria must be met for personal property taxes to qualify as an itemized deduction?</w:t>
      </w:r>
    </w:p>
    <w:p w14:paraId="3015EADD" w14:textId="7638D728" w:rsidR="00E75D4A" w:rsidRDefault="00E52A82" w:rsidP="008F1C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personal property taxes to qualify for </w:t>
      </w:r>
      <w:r w:rsidR="0023710B">
        <w:rPr>
          <w:rFonts w:ascii="Times New Roman" w:hAnsi="Times New Roman" w:cs="Times New Roman"/>
          <w:sz w:val="24"/>
          <w:szCs w:val="24"/>
        </w:rPr>
        <w:t>the itemized</w:t>
      </w:r>
      <w:r w:rsidR="00EA6A1B">
        <w:rPr>
          <w:rFonts w:ascii="Times New Roman" w:hAnsi="Times New Roman" w:cs="Times New Roman"/>
          <w:sz w:val="24"/>
          <w:szCs w:val="24"/>
        </w:rPr>
        <w:t xml:space="preserve"> deduction, the tax must be charged to the taxpayer annually and must have been paid during the tax yea</w:t>
      </w:r>
      <w:r w:rsidR="00182C76">
        <w:rPr>
          <w:rFonts w:ascii="Times New Roman" w:hAnsi="Times New Roman" w:cs="Times New Roman"/>
          <w:sz w:val="24"/>
          <w:szCs w:val="24"/>
        </w:rPr>
        <w:t>r (</w:t>
      </w:r>
      <w:r w:rsidR="00182C76" w:rsidRPr="00182C76">
        <w:rPr>
          <w:rFonts w:ascii="Times New Roman" w:hAnsi="Times New Roman" w:cs="Times New Roman"/>
          <w:sz w:val="24"/>
          <w:szCs w:val="24"/>
        </w:rPr>
        <w:t>Internal Revenue Service Website</w:t>
      </w:r>
      <w:r w:rsidR="00182C76">
        <w:rPr>
          <w:rFonts w:ascii="Times New Roman" w:hAnsi="Times New Roman" w:cs="Times New Roman"/>
          <w:sz w:val="24"/>
          <w:szCs w:val="24"/>
        </w:rPr>
        <w:t xml:space="preserve">, </w:t>
      </w:r>
      <w:r w:rsidR="00182C76" w:rsidRPr="00182C76">
        <w:rPr>
          <w:rFonts w:ascii="Times New Roman" w:hAnsi="Times New Roman" w:cs="Times New Roman"/>
          <w:sz w:val="24"/>
          <w:szCs w:val="24"/>
        </w:rPr>
        <w:t>2018)</w:t>
      </w:r>
      <w:r w:rsidR="00182C76">
        <w:rPr>
          <w:rFonts w:ascii="Times New Roman" w:hAnsi="Times New Roman" w:cs="Times New Roman"/>
          <w:sz w:val="24"/>
          <w:szCs w:val="24"/>
        </w:rPr>
        <w:t>.</w:t>
      </w:r>
      <w:r w:rsidR="00EA6A1B">
        <w:rPr>
          <w:rFonts w:ascii="Times New Roman" w:hAnsi="Times New Roman" w:cs="Times New Roman"/>
          <w:sz w:val="24"/>
          <w:szCs w:val="24"/>
        </w:rPr>
        <w:t xml:space="preserve"> Furthermore, </w:t>
      </w:r>
      <w:r w:rsidR="00182C76">
        <w:rPr>
          <w:rFonts w:ascii="Times New Roman" w:hAnsi="Times New Roman" w:cs="Times New Roman"/>
          <w:sz w:val="24"/>
          <w:szCs w:val="24"/>
        </w:rPr>
        <w:t>t</w:t>
      </w:r>
      <w:r w:rsidR="00EA6A1B">
        <w:rPr>
          <w:rFonts w:ascii="Times New Roman" w:hAnsi="Times New Roman" w:cs="Times New Roman"/>
          <w:sz w:val="24"/>
          <w:szCs w:val="24"/>
        </w:rPr>
        <w:t>hat tax must be based on the value of the personal property for which the tax is charged</w:t>
      </w:r>
      <w:r w:rsidR="00182C76">
        <w:rPr>
          <w:rFonts w:ascii="Times New Roman" w:hAnsi="Times New Roman" w:cs="Times New Roman"/>
          <w:sz w:val="24"/>
          <w:szCs w:val="24"/>
        </w:rPr>
        <w:t>.</w:t>
      </w:r>
      <w:r w:rsidR="00EA6A1B">
        <w:rPr>
          <w:rFonts w:ascii="Times New Roman" w:hAnsi="Times New Roman" w:cs="Times New Roman"/>
          <w:sz w:val="24"/>
          <w:szCs w:val="24"/>
        </w:rPr>
        <w:t xml:space="preserve"> </w:t>
      </w:r>
      <w:r w:rsidR="00182C76">
        <w:rPr>
          <w:rFonts w:ascii="Times New Roman" w:hAnsi="Times New Roman" w:cs="Times New Roman"/>
          <w:sz w:val="24"/>
          <w:szCs w:val="24"/>
        </w:rPr>
        <w:t>E</w:t>
      </w:r>
      <w:r w:rsidR="00EA6A1B">
        <w:rPr>
          <w:rFonts w:ascii="Times New Roman" w:hAnsi="Times New Roman" w:cs="Times New Roman"/>
          <w:sz w:val="24"/>
          <w:szCs w:val="24"/>
        </w:rPr>
        <w:t xml:space="preserve">ven if the tax is being collected quarterly or twice a year, it must be charged </w:t>
      </w:r>
      <w:r w:rsidR="0023710B">
        <w:rPr>
          <w:rFonts w:ascii="Times New Roman" w:hAnsi="Times New Roman" w:cs="Times New Roman"/>
          <w:sz w:val="24"/>
          <w:szCs w:val="24"/>
        </w:rPr>
        <w:t>annually</w:t>
      </w:r>
      <w:r w:rsidR="00EA6A1B">
        <w:rPr>
          <w:rFonts w:ascii="Times New Roman" w:hAnsi="Times New Roman" w:cs="Times New Roman"/>
          <w:sz w:val="24"/>
          <w:szCs w:val="24"/>
        </w:rPr>
        <w:t xml:space="preserve"> to the taxpayer and it must have been paid on an annual basis by the tax</w:t>
      </w:r>
      <w:r w:rsidR="0023710B">
        <w:rPr>
          <w:rFonts w:ascii="Times New Roman" w:hAnsi="Times New Roman" w:cs="Times New Roman"/>
          <w:sz w:val="24"/>
          <w:szCs w:val="24"/>
        </w:rPr>
        <w:t>payer</w:t>
      </w:r>
      <w:r w:rsidR="00EA6A1B">
        <w:rPr>
          <w:rFonts w:ascii="Times New Roman" w:hAnsi="Times New Roman" w:cs="Times New Roman"/>
          <w:sz w:val="24"/>
          <w:szCs w:val="24"/>
        </w:rPr>
        <w:t xml:space="preserve"> to qualify for personal tax </w:t>
      </w:r>
      <w:r w:rsidR="0023710B">
        <w:rPr>
          <w:rFonts w:ascii="Times New Roman" w:hAnsi="Times New Roman" w:cs="Times New Roman"/>
          <w:sz w:val="24"/>
          <w:szCs w:val="24"/>
        </w:rPr>
        <w:t>itemized</w:t>
      </w:r>
      <w:r w:rsidR="00EA6A1B">
        <w:rPr>
          <w:rFonts w:ascii="Times New Roman" w:hAnsi="Times New Roman" w:cs="Times New Roman"/>
          <w:sz w:val="24"/>
          <w:szCs w:val="24"/>
        </w:rPr>
        <w:t xml:space="preserve"> deduction</w:t>
      </w:r>
      <w:r w:rsidR="00182C76">
        <w:rPr>
          <w:rFonts w:ascii="Times New Roman" w:hAnsi="Times New Roman" w:cs="Times New Roman"/>
          <w:sz w:val="24"/>
          <w:szCs w:val="24"/>
        </w:rPr>
        <w:t xml:space="preserve"> (</w:t>
      </w:r>
      <w:r w:rsidR="00182C76" w:rsidRPr="00182C76">
        <w:rPr>
          <w:rFonts w:ascii="Times New Roman" w:hAnsi="Times New Roman" w:cs="Times New Roman"/>
          <w:sz w:val="24"/>
          <w:szCs w:val="24"/>
        </w:rPr>
        <w:t>Internal Revenue Service Website</w:t>
      </w:r>
      <w:r w:rsidR="00182C76">
        <w:rPr>
          <w:rFonts w:ascii="Times New Roman" w:hAnsi="Times New Roman" w:cs="Times New Roman"/>
          <w:sz w:val="24"/>
          <w:szCs w:val="24"/>
        </w:rPr>
        <w:t xml:space="preserve">, </w:t>
      </w:r>
      <w:r w:rsidR="00182C76" w:rsidRPr="00182C76">
        <w:rPr>
          <w:rFonts w:ascii="Times New Roman" w:hAnsi="Times New Roman" w:cs="Times New Roman"/>
          <w:sz w:val="24"/>
          <w:szCs w:val="24"/>
        </w:rPr>
        <w:t>2018)</w:t>
      </w:r>
      <w:r w:rsidR="00EA6A1B">
        <w:rPr>
          <w:rFonts w:ascii="Times New Roman" w:hAnsi="Times New Roman" w:cs="Times New Roman"/>
          <w:sz w:val="24"/>
          <w:szCs w:val="24"/>
        </w:rPr>
        <w:t>.</w:t>
      </w:r>
      <w:r w:rsidR="0095178D">
        <w:rPr>
          <w:rFonts w:ascii="Times New Roman" w:hAnsi="Times New Roman" w:cs="Times New Roman"/>
          <w:sz w:val="24"/>
          <w:szCs w:val="24"/>
        </w:rPr>
        <w:t xml:space="preserve"> Therefore, it is important to understand that the personal tax cannot be eligible for itemized deduction if it is not charged annually and if it is not based on the value of the personal property.</w:t>
      </w:r>
      <w:r w:rsidR="00D96AA2">
        <w:rPr>
          <w:rFonts w:ascii="Times New Roman" w:hAnsi="Times New Roman" w:cs="Times New Roman"/>
          <w:sz w:val="24"/>
          <w:szCs w:val="24"/>
        </w:rPr>
        <w:t xml:space="preserve"> It must be exclusively based on the value of the </w:t>
      </w:r>
      <w:r w:rsidR="00B452F4">
        <w:rPr>
          <w:rFonts w:ascii="Times New Roman" w:hAnsi="Times New Roman" w:cs="Times New Roman"/>
          <w:sz w:val="24"/>
          <w:szCs w:val="24"/>
        </w:rPr>
        <w:t xml:space="preserve">personal </w:t>
      </w:r>
      <w:r w:rsidR="00D96AA2">
        <w:rPr>
          <w:rFonts w:ascii="Times New Roman" w:hAnsi="Times New Roman" w:cs="Times New Roman"/>
          <w:sz w:val="24"/>
          <w:szCs w:val="24"/>
        </w:rPr>
        <w:t>property owned.</w:t>
      </w:r>
    </w:p>
    <w:p w14:paraId="42E9C361" w14:textId="670D04FB" w:rsidR="00186C4D" w:rsidRPr="009466B5" w:rsidRDefault="00E52A82" w:rsidP="008F1C7D">
      <w:pPr>
        <w:spacing w:line="480" w:lineRule="auto"/>
        <w:rPr>
          <w:rFonts w:ascii="Times New Roman" w:hAnsi="Times New Roman" w:cs="Times New Roman"/>
          <w:b/>
          <w:sz w:val="24"/>
          <w:szCs w:val="24"/>
        </w:rPr>
      </w:pPr>
      <w:r w:rsidRPr="009466B5">
        <w:rPr>
          <w:rFonts w:ascii="Times New Roman" w:hAnsi="Times New Roman" w:cs="Times New Roman"/>
          <w:b/>
          <w:sz w:val="24"/>
          <w:szCs w:val="24"/>
        </w:rPr>
        <w:t xml:space="preserve">Q16: </w:t>
      </w:r>
      <w:r w:rsidR="00157C22" w:rsidRPr="009466B5">
        <w:rPr>
          <w:rFonts w:ascii="Times New Roman" w:hAnsi="Times New Roman" w:cs="Times New Roman"/>
          <w:b/>
          <w:sz w:val="24"/>
          <w:szCs w:val="24"/>
        </w:rPr>
        <w:t>What happens to any unused charitable contributions?</w:t>
      </w:r>
    </w:p>
    <w:p w14:paraId="7985088B" w14:textId="48EEC4E2" w:rsidR="00A50F73" w:rsidRDefault="00E52A82" w:rsidP="008F1C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Any unused </w:t>
      </w:r>
      <w:r w:rsidR="0091480D">
        <w:rPr>
          <w:rFonts w:ascii="Times New Roman" w:hAnsi="Times New Roman" w:cs="Times New Roman"/>
          <w:sz w:val="24"/>
          <w:szCs w:val="24"/>
        </w:rPr>
        <w:t>charitable</w:t>
      </w:r>
      <w:r>
        <w:rPr>
          <w:rFonts w:ascii="Times New Roman" w:hAnsi="Times New Roman" w:cs="Times New Roman"/>
          <w:sz w:val="24"/>
          <w:szCs w:val="24"/>
        </w:rPr>
        <w:t xml:space="preserve"> contributions are carried over to the next year if the </w:t>
      </w:r>
      <w:r w:rsidR="0091480D">
        <w:rPr>
          <w:rFonts w:ascii="Times New Roman" w:hAnsi="Times New Roman" w:cs="Times New Roman"/>
          <w:sz w:val="24"/>
          <w:szCs w:val="24"/>
        </w:rPr>
        <w:t>deductions</w:t>
      </w:r>
      <w:r>
        <w:rPr>
          <w:rFonts w:ascii="Times New Roman" w:hAnsi="Times New Roman" w:cs="Times New Roman"/>
          <w:sz w:val="24"/>
          <w:szCs w:val="24"/>
        </w:rPr>
        <w:t xml:space="preserve"> exceed 50% of the adjustable </w:t>
      </w:r>
      <w:r w:rsidR="0091480D">
        <w:rPr>
          <w:rFonts w:ascii="Times New Roman" w:hAnsi="Times New Roman" w:cs="Times New Roman"/>
          <w:sz w:val="24"/>
          <w:szCs w:val="24"/>
        </w:rPr>
        <w:t xml:space="preserve">gross income. </w:t>
      </w:r>
      <w:r w:rsidR="00591182">
        <w:rPr>
          <w:rFonts w:ascii="Times New Roman" w:hAnsi="Times New Roman" w:cs="Times New Roman"/>
          <w:sz w:val="24"/>
          <w:szCs w:val="24"/>
        </w:rPr>
        <w:t xml:space="preserve">According to the Internal Revenue Service, </w:t>
      </w:r>
      <w:r w:rsidR="00591182">
        <w:rPr>
          <w:rFonts w:ascii="Times New Roman" w:hAnsi="Times New Roman" w:cs="Times New Roman"/>
          <w:sz w:val="24"/>
          <w:szCs w:val="24"/>
        </w:rPr>
        <w:lastRenderedPageBreak/>
        <w:t>Publication 526 (2017), i</w:t>
      </w:r>
      <w:r w:rsidR="0091480D">
        <w:rPr>
          <w:rFonts w:ascii="Times New Roman" w:hAnsi="Times New Roman" w:cs="Times New Roman"/>
          <w:sz w:val="24"/>
          <w:szCs w:val="24"/>
        </w:rPr>
        <w:t xml:space="preserve">n the event that the charitable contributions </w:t>
      </w:r>
      <w:r w:rsidR="000C6458">
        <w:rPr>
          <w:rFonts w:ascii="Times New Roman" w:hAnsi="Times New Roman" w:cs="Times New Roman"/>
          <w:sz w:val="24"/>
          <w:szCs w:val="24"/>
        </w:rPr>
        <w:t>exceed</w:t>
      </w:r>
      <w:r w:rsidR="0091480D">
        <w:rPr>
          <w:rFonts w:ascii="Times New Roman" w:hAnsi="Times New Roman" w:cs="Times New Roman"/>
          <w:sz w:val="24"/>
          <w:szCs w:val="24"/>
        </w:rPr>
        <w:t xml:space="preserve"> 50% of the adjustable gross income, the </w:t>
      </w:r>
      <w:r w:rsidR="000C6458">
        <w:rPr>
          <w:rFonts w:ascii="Times New Roman" w:hAnsi="Times New Roman" w:cs="Times New Roman"/>
          <w:sz w:val="24"/>
          <w:szCs w:val="24"/>
        </w:rPr>
        <w:t>unused</w:t>
      </w:r>
      <w:r w:rsidR="0091480D">
        <w:rPr>
          <w:rFonts w:ascii="Times New Roman" w:hAnsi="Times New Roman" w:cs="Times New Roman"/>
          <w:sz w:val="24"/>
          <w:szCs w:val="24"/>
        </w:rPr>
        <w:t xml:space="preserve"> charitable contributions are carried forward to the next year where the limits to which the contributions are </w:t>
      </w:r>
      <w:r w:rsidR="000C6458">
        <w:rPr>
          <w:rFonts w:ascii="Times New Roman" w:hAnsi="Times New Roman" w:cs="Times New Roman"/>
          <w:sz w:val="24"/>
          <w:szCs w:val="24"/>
        </w:rPr>
        <w:t>appended</w:t>
      </w:r>
      <w:r w:rsidR="0091480D">
        <w:rPr>
          <w:rFonts w:ascii="Times New Roman" w:hAnsi="Times New Roman" w:cs="Times New Roman"/>
          <w:sz w:val="24"/>
          <w:szCs w:val="24"/>
        </w:rPr>
        <w:t xml:space="preserve"> apply for the years they are carried to.</w:t>
      </w:r>
      <w:r w:rsidR="00A649A0">
        <w:rPr>
          <w:rFonts w:ascii="Times New Roman" w:hAnsi="Times New Roman" w:cs="Times New Roman"/>
          <w:sz w:val="24"/>
          <w:szCs w:val="24"/>
        </w:rPr>
        <w:t xml:space="preserve"> For example, if the limit was 50%, for the year from which the charitable contributions are being carried forward, the limit will remain 50% for the year to which the contributions are carried to. However, the unused contributions cannot be carried forward beyond 5 years. Only special organizations contributions qualify for an </w:t>
      </w:r>
      <w:r w:rsidR="000C6458">
        <w:rPr>
          <w:rFonts w:ascii="Times New Roman" w:hAnsi="Times New Roman" w:cs="Times New Roman"/>
          <w:sz w:val="24"/>
          <w:szCs w:val="24"/>
        </w:rPr>
        <w:t>extension</w:t>
      </w:r>
      <w:r w:rsidR="00A649A0">
        <w:rPr>
          <w:rFonts w:ascii="Times New Roman" w:hAnsi="Times New Roman" w:cs="Times New Roman"/>
          <w:sz w:val="24"/>
          <w:szCs w:val="24"/>
        </w:rPr>
        <w:t xml:space="preserve"> of carrying forward for 15 years. The unused contributions are carried forward to the next year and the limit applies until they are all used up.</w:t>
      </w:r>
    </w:p>
    <w:p w14:paraId="11977909" w14:textId="1EB76C99" w:rsidR="00157C22" w:rsidRPr="00C67C0B" w:rsidRDefault="00E52A82" w:rsidP="008F1C7D">
      <w:pPr>
        <w:spacing w:line="480" w:lineRule="auto"/>
        <w:rPr>
          <w:rFonts w:ascii="Times New Roman" w:hAnsi="Times New Roman" w:cs="Times New Roman"/>
          <w:b/>
          <w:sz w:val="24"/>
          <w:szCs w:val="24"/>
        </w:rPr>
      </w:pPr>
      <w:r w:rsidRPr="00C67C0B">
        <w:rPr>
          <w:rFonts w:ascii="Times New Roman" w:hAnsi="Times New Roman" w:cs="Times New Roman"/>
          <w:b/>
          <w:sz w:val="24"/>
          <w:szCs w:val="24"/>
        </w:rPr>
        <w:t>Q 16: What is the purpose of the foreign tax credit?</w:t>
      </w:r>
    </w:p>
    <w:p w14:paraId="7DCDEA04" w14:textId="434F1928" w:rsidR="00B60DC3" w:rsidRDefault="00E52A82" w:rsidP="008F1C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Foreign tax credits occur when an American pays income tax imposed on him legally in a foreign country to the foreign government and claims such tax as a tax </w:t>
      </w:r>
      <w:r>
        <w:rPr>
          <w:rFonts w:ascii="Times New Roman" w:hAnsi="Times New Roman" w:cs="Times New Roman"/>
          <w:sz w:val="24"/>
          <w:szCs w:val="24"/>
        </w:rPr>
        <w:t>credit against his or her US federal income tax</w:t>
      </w:r>
      <w:r w:rsidR="00D8497F">
        <w:rPr>
          <w:rFonts w:ascii="Times New Roman" w:hAnsi="Times New Roman" w:cs="Times New Roman"/>
          <w:sz w:val="24"/>
          <w:szCs w:val="24"/>
        </w:rPr>
        <w:t xml:space="preserve"> (</w:t>
      </w:r>
      <w:r w:rsidR="00D8497F" w:rsidRPr="00D8497F">
        <w:rPr>
          <w:rFonts w:ascii="Times New Roman" w:hAnsi="Times New Roman" w:cs="Times New Roman"/>
          <w:sz w:val="24"/>
          <w:szCs w:val="24"/>
        </w:rPr>
        <w:t>Perez, 2018)</w:t>
      </w:r>
      <w:r>
        <w:rPr>
          <w:rFonts w:ascii="Times New Roman" w:hAnsi="Times New Roman" w:cs="Times New Roman"/>
          <w:sz w:val="24"/>
          <w:szCs w:val="24"/>
        </w:rPr>
        <w:t>. Therefore, the main purpose of the foreign tax credit is to avoid or reduce the tax impact on income earned caused by double taxation from both the US federal government and the foreign gove</w:t>
      </w:r>
      <w:r>
        <w:rPr>
          <w:rFonts w:ascii="Times New Roman" w:hAnsi="Times New Roman" w:cs="Times New Roman"/>
          <w:sz w:val="24"/>
          <w:szCs w:val="24"/>
        </w:rPr>
        <w:t>rnment of the country to which the American pays income tax</w:t>
      </w:r>
      <w:r w:rsidR="002D1124">
        <w:rPr>
          <w:rFonts w:ascii="Times New Roman" w:hAnsi="Times New Roman" w:cs="Times New Roman"/>
          <w:sz w:val="24"/>
          <w:szCs w:val="24"/>
        </w:rPr>
        <w:t xml:space="preserve"> (</w:t>
      </w:r>
      <w:r w:rsidR="002D1124" w:rsidRPr="002D1124">
        <w:rPr>
          <w:rFonts w:ascii="Times New Roman" w:hAnsi="Times New Roman" w:cs="Times New Roman"/>
          <w:sz w:val="24"/>
          <w:szCs w:val="24"/>
        </w:rPr>
        <w:t>Perez, 2018)</w:t>
      </w:r>
      <w:r>
        <w:rPr>
          <w:rFonts w:ascii="Times New Roman" w:hAnsi="Times New Roman" w:cs="Times New Roman"/>
          <w:sz w:val="24"/>
          <w:szCs w:val="24"/>
        </w:rPr>
        <w:t xml:space="preserve">. This tax credit, therefore, serves the purpose of avoiding </w:t>
      </w:r>
      <w:r w:rsidR="00E10792">
        <w:rPr>
          <w:rFonts w:ascii="Times New Roman" w:hAnsi="Times New Roman" w:cs="Times New Roman"/>
          <w:sz w:val="24"/>
          <w:szCs w:val="24"/>
        </w:rPr>
        <w:t>suffering tax impacts twice</w:t>
      </w:r>
      <w:r w:rsidR="00664873">
        <w:rPr>
          <w:rFonts w:ascii="Times New Roman" w:hAnsi="Times New Roman" w:cs="Times New Roman"/>
          <w:sz w:val="24"/>
          <w:szCs w:val="24"/>
        </w:rPr>
        <w:t xml:space="preserve"> which might reduce the amount the taxpayer remains with after taxes</w:t>
      </w:r>
      <w:r>
        <w:rPr>
          <w:rFonts w:ascii="Times New Roman" w:hAnsi="Times New Roman" w:cs="Times New Roman"/>
          <w:sz w:val="24"/>
          <w:szCs w:val="24"/>
        </w:rPr>
        <w:t>.</w:t>
      </w:r>
    </w:p>
    <w:p w14:paraId="730C74F2" w14:textId="77777777" w:rsidR="00EF67E4" w:rsidRDefault="00E52A82" w:rsidP="008F1C7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082BDA8" w14:textId="225A08B3" w:rsidR="008173AB" w:rsidRDefault="00E52A82" w:rsidP="008F1C7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D87815F" w14:textId="77777777" w:rsidR="00C67C0B" w:rsidRDefault="00E52A82" w:rsidP="008F1C7D">
      <w:pPr>
        <w:spacing w:line="480" w:lineRule="auto"/>
        <w:ind w:left="720" w:hanging="720"/>
        <w:rPr>
          <w:rFonts w:ascii="Times New Roman" w:hAnsi="Times New Roman" w:cs="Times New Roman"/>
          <w:sz w:val="24"/>
          <w:szCs w:val="24"/>
        </w:rPr>
      </w:pPr>
      <w:bookmarkStart w:id="1" w:name="_Hlk522468924"/>
      <w:r w:rsidRPr="00830592">
        <w:rPr>
          <w:rFonts w:ascii="Times New Roman" w:hAnsi="Times New Roman" w:cs="Times New Roman"/>
          <w:sz w:val="24"/>
          <w:szCs w:val="24"/>
        </w:rPr>
        <w:t>Bou</w:t>
      </w:r>
      <w:r w:rsidRPr="00830592">
        <w:rPr>
          <w:rFonts w:ascii="Times New Roman" w:hAnsi="Times New Roman" w:cs="Times New Roman"/>
          <w:sz w:val="24"/>
          <w:szCs w:val="24"/>
        </w:rPr>
        <w:t>rassa, S. C., &amp; Yin, M. (2008)</w:t>
      </w:r>
      <w:bookmarkEnd w:id="1"/>
      <w:r w:rsidRPr="00830592">
        <w:rPr>
          <w:rFonts w:ascii="Times New Roman" w:hAnsi="Times New Roman" w:cs="Times New Roman"/>
          <w:sz w:val="24"/>
          <w:szCs w:val="24"/>
        </w:rPr>
        <w:t>. Tax deductions, tax credits and the homeownership rate of young urban adults in the United States. </w:t>
      </w:r>
      <w:r w:rsidRPr="00830592">
        <w:rPr>
          <w:rFonts w:ascii="Times New Roman" w:hAnsi="Times New Roman" w:cs="Times New Roman"/>
          <w:i/>
          <w:iCs/>
          <w:sz w:val="24"/>
          <w:szCs w:val="24"/>
        </w:rPr>
        <w:t>Urban Studies</w:t>
      </w:r>
      <w:r w:rsidRPr="00830592">
        <w:rPr>
          <w:rFonts w:ascii="Times New Roman" w:hAnsi="Times New Roman" w:cs="Times New Roman"/>
          <w:sz w:val="24"/>
          <w:szCs w:val="24"/>
        </w:rPr>
        <w:t>, </w:t>
      </w:r>
      <w:r w:rsidRPr="00830592">
        <w:rPr>
          <w:rFonts w:ascii="Times New Roman" w:hAnsi="Times New Roman" w:cs="Times New Roman"/>
          <w:i/>
          <w:iCs/>
          <w:sz w:val="24"/>
          <w:szCs w:val="24"/>
        </w:rPr>
        <w:t>45</w:t>
      </w:r>
      <w:r w:rsidRPr="00830592">
        <w:rPr>
          <w:rFonts w:ascii="Times New Roman" w:hAnsi="Times New Roman" w:cs="Times New Roman"/>
          <w:sz w:val="24"/>
          <w:szCs w:val="24"/>
        </w:rPr>
        <w:t>(5-6), 1141-1161.</w:t>
      </w:r>
    </w:p>
    <w:p w14:paraId="427AD694" w14:textId="77777777" w:rsidR="00C67C0B" w:rsidRDefault="00E52A82" w:rsidP="008F1C7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Internal Revenue Service (2017). </w:t>
      </w:r>
      <w:r w:rsidRPr="000C6458">
        <w:rPr>
          <w:rFonts w:ascii="Times New Roman" w:hAnsi="Times New Roman" w:cs="Times New Roman"/>
          <w:sz w:val="24"/>
          <w:szCs w:val="24"/>
        </w:rPr>
        <w:t xml:space="preserve">Charitable </w:t>
      </w:r>
      <w:r>
        <w:rPr>
          <w:rFonts w:ascii="Times New Roman" w:hAnsi="Times New Roman" w:cs="Times New Roman"/>
          <w:sz w:val="24"/>
          <w:szCs w:val="24"/>
        </w:rPr>
        <w:t>c</w:t>
      </w:r>
      <w:r w:rsidRPr="000C6458">
        <w:rPr>
          <w:rFonts w:ascii="Times New Roman" w:hAnsi="Times New Roman" w:cs="Times New Roman"/>
          <w:sz w:val="24"/>
          <w:szCs w:val="24"/>
        </w:rPr>
        <w:t xml:space="preserve">ontributions </w:t>
      </w:r>
      <w:r>
        <w:rPr>
          <w:rFonts w:ascii="Times New Roman" w:hAnsi="Times New Roman" w:cs="Times New Roman"/>
          <w:sz w:val="24"/>
          <w:szCs w:val="24"/>
        </w:rPr>
        <w:t>f</w:t>
      </w:r>
      <w:r w:rsidRPr="000C6458">
        <w:rPr>
          <w:rFonts w:ascii="Times New Roman" w:hAnsi="Times New Roman" w:cs="Times New Roman"/>
          <w:sz w:val="24"/>
          <w:szCs w:val="24"/>
        </w:rPr>
        <w:t xml:space="preserve">or use in preparing 2017 </w:t>
      </w:r>
      <w:r>
        <w:rPr>
          <w:rFonts w:ascii="Times New Roman" w:hAnsi="Times New Roman" w:cs="Times New Roman"/>
          <w:sz w:val="24"/>
          <w:szCs w:val="24"/>
        </w:rPr>
        <w:t>r</w:t>
      </w:r>
      <w:r w:rsidRPr="000C6458">
        <w:rPr>
          <w:rFonts w:ascii="Times New Roman" w:hAnsi="Times New Roman" w:cs="Times New Roman"/>
          <w:sz w:val="24"/>
          <w:szCs w:val="24"/>
        </w:rPr>
        <w:t>eturns</w:t>
      </w:r>
      <w:r>
        <w:rPr>
          <w:rFonts w:ascii="Times New Roman" w:hAnsi="Times New Roman" w:cs="Times New Roman"/>
          <w:sz w:val="24"/>
          <w:szCs w:val="24"/>
        </w:rPr>
        <w:t>. Publication 526. Cat No. 15050A. Department of the Treasury.</w:t>
      </w:r>
    </w:p>
    <w:p w14:paraId="7D86C706" w14:textId="77777777" w:rsidR="00C67C0B" w:rsidRDefault="00E52A82" w:rsidP="008F1C7D">
      <w:pPr>
        <w:spacing w:line="480" w:lineRule="auto"/>
        <w:ind w:left="720" w:hanging="720"/>
        <w:rPr>
          <w:rFonts w:ascii="Times New Roman" w:hAnsi="Times New Roman" w:cs="Times New Roman"/>
          <w:bCs/>
        </w:rPr>
      </w:pPr>
      <w:bookmarkStart w:id="2" w:name="_Hlk522472852"/>
      <w:r>
        <w:rPr>
          <w:rFonts w:ascii="Times New Roman" w:hAnsi="Times New Roman" w:cs="Times New Roman"/>
          <w:sz w:val="24"/>
          <w:szCs w:val="24"/>
        </w:rPr>
        <w:t>Internal Revenue Service Website (2018)</w:t>
      </w:r>
      <w:bookmarkEnd w:id="2"/>
      <w:r>
        <w:rPr>
          <w:rFonts w:ascii="Times New Roman" w:hAnsi="Times New Roman" w:cs="Times New Roman"/>
          <w:sz w:val="24"/>
          <w:szCs w:val="24"/>
        </w:rPr>
        <w:t xml:space="preserve">. </w:t>
      </w:r>
      <w:r w:rsidRPr="00AB3315">
        <w:rPr>
          <w:rFonts w:ascii="Times New Roman" w:hAnsi="Times New Roman" w:cs="Times New Roman"/>
          <w:bCs/>
        </w:rPr>
        <w:t>Topic Number 503 - Deductible Taxe</w:t>
      </w:r>
      <w:r>
        <w:rPr>
          <w:rFonts w:ascii="Times New Roman" w:hAnsi="Times New Roman" w:cs="Times New Roman"/>
          <w:bCs/>
        </w:rPr>
        <w:t xml:space="preserve">s. Retrieved August 19, 2018, from </w:t>
      </w:r>
      <w:hyperlink r:id="rId6" w:history="1">
        <w:r w:rsidRPr="004B3B11">
          <w:rPr>
            <w:rStyle w:val="Hyperlink"/>
            <w:rFonts w:ascii="Times New Roman" w:hAnsi="Times New Roman" w:cs="Times New Roman"/>
            <w:bCs/>
          </w:rPr>
          <w:t>https://www.irs.gov/taxto</w:t>
        </w:r>
        <w:r w:rsidRPr="004B3B11">
          <w:rPr>
            <w:rStyle w:val="Hyperlink"/>
            <w:rFonts w:ascii="Times New Roman" w:hAnsi="Times New Roman" w:cs="Times New Roman"/>
            <w:bCs/>
          </w:rPr>
          <w:t>pics/tc503</w:t>
        </w:r>
      </w:hyperlink>
    </w:p>
    <w:p w14:paraId="368E3A86" w14:textId="77777777" w:rsidR="00C67C0B" w:rsidRDefault="00E52A82" w:rsidP="008F1C7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Perez, W. (June 2018). </w:t>
      </w:r>
      <w:r w:rsidRPr="005B0BC0">
        <w:rPr>
          <w:rFonts w:ascii="Times New Roman" w:hAnsi="Times New Roman" w:cs="Times New Roman"/>
          <w:sz w:val="24"/>
          <w:szCs w:val="24"/>
        </w:rPr>
        <w:t>The Foreign Tax Credit Information</w:t>
      </w:r>
      <w:r>
        <w:rPr>
          <w:rFonts w:ascii="Times New Roman" w:hAnsi="Times New Roman" w:cs="Times New Roman"/>
          <w:sz w:val="24"/>
          <w:szCs w:val="24"/>
        </w:rPr>
        <w:t xml:space="preserve">. </w:t>
      </w:r>
      <w:r w:rsidRPr="005B0BC0">
        <w:rPr>
          <w:rFonts w:ascii="Times New Roman" w:hAnsi="Times New Roman" w:cs="Times New Roman"/>
          <w:sz w:val="24"/>
          <w:szCs w:val="24"/>
        </w:rPr>
        <w:t>Do you qualify for the foreign tax credit?</w:t>
      </w:r>
      <w:r>
        <w:rPr>
          <w:rFonts w:ascii="Times New Roman" w:hAnsi="Times New Roman" w:cs="Times New Roman"/>
          <w:sz w:val="24"/>
          <w:szCs w:val="24"/>
        </w:rPr>
        <w:t xml:space="preserve"> Retrieved August 19, 2018, from </w:t>
      </w:r>
      <w:hyperlink r:id="rId7" w:history="1">
        <w:r w:rsidRPr="004B3B11">
          <w:rPr>
            <w:rStyle w:val="Hyperlink"/>
            <w:rFonts w:ascii="Times New Roman" w:hAnsi="Times New Roman" w:cs="Times New Roman"/>
            <w:sz w:val="24"/>
            <w:szCs w:val="24"/>
          </w:rPr>
          <w:t>https://www.thebalance.com/foreign-tax-credit-3193475</w:t>
        </w:r>
      </w:hyperlink>
    </w:p>
    <w:p w14:paraId="0967FE93" w14:textId="77777777" w:rsidR="00C67C0B" w:rsidRDefault="00E52A82" w:rsidP="008F1C7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US Tax Center at IRS (2018). </w:t>
      </w:r>
      <w:r w:rsidRPr="008173AB">
        <w:rPr>
          <w:rFonts w:ascii="Times New Roman" w:hAnsi="Times New Roman" w:cs="Times New Roman"/>
          <w:sz w:val="24"/>
          <w:szCs w:val="24"/>
        </w:rPr>
        <w:t>Tax credits vs. tax deductions</w:t>
      </w:r>
      <w:r>
        <w:rPr>
          <w:rFonts w:ascii="Times New Roman" w:hAnsi="Times New Roman" w:cs="Times New Roman"/>
          <w:sz w:val="24"/>
          <w:szCs w:val="24"/>
        </w:rPr>
        <w:t xml:space="preserve">. Retrieved August 19, 2018, from </w:t>
      </w:r>
      <w:hyperlink r:id="rId8" w:history="1">
        <w:r w:rsidRPr="004B3B11">
          <w:rPr>
            <w:rStyle w:val="Hyperlink"/>
            <w:rFonts w:ascii="Times New Roman" w:hAnsi="Times New Roman" w:cs="Times New Roman"/>
            <w:sz w:val="24"/>
            <w:szCs w:val="24"/>
          </w:rPr>
          <w:t>https://www.irs.com/articles/tax-credits-vs-tax-deductions</w:t>
        </w:r>
      </w:hyperlink>
    </w:p>
    <w:p w14:paraId="6D1C0D31" w14:textId="77777777" w:rsidR="00AB3315" w:rsidRPr="00AB3315" w:rsidRDefault="00AB3315" w:rsidP="008F1C7D">
      <w:pPr>
        <w:spacing w:line="480" w:lineRule="auto"/>
        <w:rPr>
          <w:rFonts w:ascii="Times New Roman" w:hAnsi="Times New Roman" w:cs="Times New Roman"/>
          <w:b/>
          <w:bCs/>
        </w:rPr>
      </w:pPr>
    </w:p>
    <w:sectPr w:rsidR="00AB3315" w:rsidRPr="00AB3315" w:rsidSect="004D588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E061F" w14:textId="77777777" w:rsidR="00E52A82" w:rsidRDefault="00E52A82">
      <w:pPr>
        <w:spacing w:after="0" w:line="240" w:lineRule="auto"/>
      </w:pPr>
      <w:r>
        <w:separator/>
      </w:r>
    </w:p>
  </w:endnote>
  <w:endnote w:type="continuationSeparator" w:id="0">
    <w:p w14:paraId="37BBFEFE" w14:textId="77777777" w:rsidR="00E52A82" w:rsidRDefault="00E52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CCBBC5" w14:textId="77777777" w:rsidR="00E52A82" w:rsidRDefault="00E52A82">
      <w:pPr>
        <w:spacing w:after="0" w:line="240" w:lineRule="auto"/>
      </w:pPr>
      <w:r>
        <w:separator/>
      </w:r>
    </w:p>
  </w:footnote>
  <w:footnote w:type="continuationSeparator" w:id="0">
    <w:p w14:paraId="39347D40" w14:textId="77777777" w:rsidR="00E52A82" w:rsidRDefault="00E52A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38256232"/>
      <w:docPartObj>
        <w:docPartGallery w:val="Page Numbers (Top of Page)"/>
        <w:docPartUnique/>
      </w:docPartObj>
    </w:sdtPr>
    <w:sdtEndPr>
      <w:rPr>
        <w:noProof/>
      </w:rPr>
    </w:sdtEndPr>
    <w:sdtContent>
      <w:p w14:paraId="096E1D4C" w14:textId="47DEDA8B" w:rsidR="002E1166" w:rsidRPr="002E1166" w:rsidRDefault="00E52A82" w:rsidP="002E1166">
        <w:pPr>
          <w:pStyle w:val="Header"/>
          <w:jc w:val="right"/>
          <w:rPr>
            <w:rFonts w:ascii="Times New Roman" w:hAnsi="Times New Roman" w:cs="Times New Roman"/>
          </w:rPr>
        </w:pPr>
        <w:r w:rsidRPr="002E1166">
          <w:rPr>
            <w:rFonts w:ascii="Times New Roman" w:hAnsi="Times New Roman" w:cs="Times New Roman"/>
          </w:rPr>
          <w:t xml:space="preserve">FEDERAL INCOME TAX​ IN U.S.A </w:t>
        </w:r>
        <w:r>
          <w:rPr>
            <w:rFonts w:ascii="Times New Roman" w:hAnsi="Times New Roman" w:cs="Times New Roman"/>
          </w:rPr>
          <w:t xml:space="preserve">                                                                                              </w:t>
        </w:r>
        <w:r>
          <w:rPr>
            <w:rFonts w:ascii="Times New Roman" w:hAnsi="Times New Roman" w:cs="Times New Roman"/>
          </w:rPr>
          <w:t xml:space="preserve">            </w:t>
        </w:r>
        <w:r w:rsidRPr="002E1166">
          <w:rPr>
            <w:rFonts w:ascii="Times New Roman" w:hAnsi="Times New Roman" w:cs="Times New Roman"/>
          </w:rPr>
          <w:fldChar w:fldCharType="begin"/>
        </w:r>
        <w:r w:rsidRPr="002E1166">
          <w:rPr>
            <w:rFonts w:ascii="Times New Roman" w:hAnsi="Times New Roman" w:cs="Times New Roman"/>
          </w:rPr>
          <w:instrText xml:space="preserve"> PAGE   \* MERGEFORMAT </w:instrText>
        </w:r>
        <w:r w:rsidRPr="002E1166">
          <w:rPr>
            <w:rFonts w:ascii="Times New Roman" w:hAnsi="Times New Roman" w:cs="Times New Roman"/>
          </w:rPr>
          <w:fldChar w:fldCharType="separate"/>
        </w:r>
        <w:r w:rsidRPr="002E1166">
          <w:rPr>
            <w:rFonts w:ascii="Times New Roman" w:hAnsi="Times New Roman" w:cs="Times New Roman"/>
            <w:noProof/>
          </w:rPr>
          <w:t>2</w:t>
        </w:r>
        <w:r w:rsidRPr="002E1166">
          <w:rPr>
            <w:rFonts w:ascii="Times New Roman" w:hAnsi="Times New Roman" w:cs="Times New Roman"/>
            <w:noProof/>
          </w:rPr>
          <w:fldChar w:fldCharType="end"/>
        </w:r>
      </w:p>
    </w:sdtContent>
  </w:sdt>
  <w:p w14:paraId="053E94F1" w14:textId="77777777" w:rsidR="002E1166" w:rsidRDefault="002E11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5362475"/>
      <w:docPartObj>
        <w:docPartGallery w:val="Page Numbers (Top of Page)"/>
        <w:docPartUnique/>
      </w:docPartObj>
    </w:sdtPr>
    <w:sdtEndPr>
      <w:rPr>
        <w:noProof/>
      </w:rPr>
    </w:sdtEndPr>
    <w:sdtContent>
      <w:p w14:paraId="1E3BFE83" w14:textId="01822CA1" w:rsidR="004D5884" w:rsidRPr="004D5884" w:rsidRDefault="00E52A82" w:rsidP="004D5884">
        <w:pPr>
          <w:pStyle w:val="Header"/>
          <w:jc w:val="right"/>
          <w:rPr>
            <w:rFonts w:ascii="Times New Roman" w:hAnsi="Times New Roman" w:cs="Times New Roman"/>
          </w:rPr>
        </w:pPr>
        <w:r>
          <w:rPr>
            <w:rFonts w:ascii="Times New Roman" w:hAnsi="Times New Roman" w:cs="Times New Roman"/>
          </w:rPr>
          <w:t xml:space="preserve">Running head: </w:t>
        </w:r>
        <w:r w:rsidRPr="004D5884">
          <w:rPr>
            <w:rFonts w:ascii="Times New Roman" w:hAnsi="Times New Roman" w:cs="Times New Roman"/>
          </w:rPr>
          <w:t xml:space="preserve">FEDERAL INCOME TAX​ IN U.S.A </w:t>
        </w:r>
        <w:r>
          <w:rPr>
            <w:rFonts w:ascii="Times New Roman" w:hAnsi="Times New Roman" w:cs="Times New Roman"/>
          </w:rPr>
          <w:t xml:space="preserve">                                                                                  </w:t>
        </w:r>
        <w:r w:rsidRPr="004D5884">
          <w:rPr>
            <w:rFonts w:ascii="Times New Roman" w:hAnsi="Times New Roman" w:cs="Times New Roman"/>
          </w:rPr>
          <w:fldChar w:fldCharType="begin"/>
        </w:r>
        <w:r w:rsidRPr="004D5884">
          <w:rPr>
            <w:rFonts w:ascii="Times New Roman" w:hAnsi="Times New Roman" w:cs="Times New Roman"/>
          </w:rPr>
          <w:instrText xml:space="preserve"> PAGE   \* MERGEFORMAT </w:instrText>
        </w:r>
        <w:r w:rsidRPr="004D5884">
          <w:rPr>
            <w:rFonts w:ascii="Times New Roman" w:hAnsi="Times New Roman" w:cs="Times New Roman"/>
          </w:rPr>
          <w:fldChar w:fldCharType="separate"/>
        </w:r>
        <w:r w:rsidRPr="004D5884">
          <w:rPr>
            <w:rFonts w:ascii="Times New Roman" w:hAnsi="Times New Roman" w:cs="Times New Roman"/>
            <w:noProof/>
          </w:rPr>
          <w:t>2</w:t>
        </w:r>
        <w:r w:rsidRPr="004D5884">
          <w:rPr>
            <w:rFonts w:ascii="Times New Roman" w:hAnsi="Times New Roman" w:cs="Times New Roman"/>
            <w:noProof/>
          </w:rPr>
          <w:fldChar w:fldCharType="end"/>
        </w:r>
      </w:p>
    </w:sdtContent>
  </w:sdt>
  <w:p w14:paraId="2808C0A5" w14:textId="77777777" w:rsidR="004D5884" w:rsidRDefault="004D58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EE0"/>
    <w:rsid w:val="0005477F"/>
    <w:rsid w:val="000C6458"/>
    <w:rsid w:val="00157C22"/>
    <w:rsid w:val="00182C76"/>
    <w:rsid w:val="00186C4D"/>
    <w:rsid w:val="0023710B"/>
    <w:rsid w:val="00283BEB"/>
    <w:rsid w:val="002D1124"/>
    <w:rsid w:val="002E1166"/>
    <w:rsid w:val="0034485C"/>
    <w:rsid w:val="00346176"/>
    <w:rsid w:val="00384452"/>
    <w:rsid w:val="003E4A1C"/>
    <w:rsid w:val="004243FA"/>
    <w:rsid w:val="00463820"/>
    <w:rsid w:val="004906CA"/>
    <w:rsid w:val="004A1371"/>
    <w:rsid w:val="004B3B11"/>
    <w:rsid w:val="004D5884"/>
    <w:rsid w:val="005302C7"/>
    <w:rsid w:val="00591182"/>
    <w:rsid w:val="005B0BC0"/>
    <w:rsid w:val="00615B7F"/>
    <w:rsid w:val="006174B5"/>
    <w:rsid w:val="00664873"/>
    <w:rsid w:val="006B5488"/>
    <w:rsid w:val="006F1E51"/>
    <w:rsid w:val="00715102"/>
    <w:rsid w:val="00754296"/>
    <w:rsid w:val="00781302"/>
    <w:rsid w:val="008173AB"/>
    <w:rsid w:val="00830592"/>
    <w:rsid w:val="00884418"/>
    <w:rsid w:val="008F1C7D"/>
    <w:rsid w:val="008F6593"/>
    <w:rsid w:val="0091480D"/>
    <w:rsid w:val="00940499"/>
    <w:rsid w:val="009466B5"/>
    <w:rsid w:val="0095178D"/>
    <w:rsid w:val="00955EE0"/>
    <w:rsid w:val="009664F5"/>
    <w:rsid w:val="00A50F73"/>
    <w:rsid w:val="00A649A0"/>
    <w:rsid w:val="00A73113"/>
    <w:rsid w:val="00AB3315"/>
    <w:rsid w:val="00AB5AF7"/>
    <w:rsid w:val="00B452F4"/>
    <w:rsid w:val="00B60DC3"/>
    <w:rsid w:val="00B67A8C"/>
    <w:rsid w:val="00C4115A"/>
    <w:rsid w:val="00C67C0B"/>
    <w:rsid w:val="00C777B5"/>
    <w:rsid w:val="00D00763"/>
    <w:rsid w:val="00D02CFF"/>
    <w:rsid w:val="00D723AE"/>
    <w:rsid w:val="00D8497F"/>
    <w:rsid w:val="00D96AA2"/>
    <w:rsid w:val="00DA09E2"/>
    <w:rsid w:val="00E10792"/>
    <w:rsid w:val="00E13D6C"/>
    <w:rsid w:val="00E52A82"/>
    <w:rsid w:val="00E75D4A"/>
    <w:rsid w:val="00EA6A1B"/>
    <w:rsid w:val="00EF67E4"/>
    <w:rsid w:val="00FC5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D21750-9019-4AAD-8EE1-A922B6EE9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173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331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3A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8173AB"/>
    <w:rPr>
      <w:color w:val="0563C1" w:themeColor="hyperlink"/>
      <w:u w:val="single"/>
    </w:rPr>
  </w:style>
  <w:style w:type="character" w:customStyle="1" w:styleId="UnresolvedMention1">
    <w:name w:val="Unresolved Mention1"/>
    <w:basedOn w:val="DefaultParagraphFont"/>
    <w:uiPriority w:val="99"/>
    <w:semiHidden/>
    <w:unhideWhenUsed/>
    <w:rsid w:val="008173AB"/>
    <w:rPr>
      <w:color w:val="605E5C"/>
      <w:shd w:val="clear" w:color="auto" w:fill="E1DFDD"/>
    </w:rPr>
  </w:style>
  <w:style w:type="character" w:customStyle="1" w:styleId="Heading3Char">
    <w:name w:val="Heading 3 Char"/>
    <w:basedOn w:val="DefaultParagraphFont"/>
    <w:link w:val="Heading3"/>
    <w:uiPriority w:val="9"/>
    <w:semiHidden/>
    <w:rsid w:val="00AB3315"/>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2E1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166"/>
  </w:style>
  <w:style w:type="paragraph" w:styleId="Footer">
    <w:name w:val="footer"/>
    <w:basedOn w:val="Normal"/>
    <w:link w:val="FooterChar"/>
    <w:uiPriority w:val="99"/>
    <w:unhideWhenUsed/>
    <w:rsid w:val="002E1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16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731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31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s.com/articles/tax-credits-vs-tax-deductions" TargetMode="External"/><Relationship Id="rId3" Type="http://schemas.openxmlformats.org/officeDocument/2006/relationships/webSettings" Target="webSettings.xml"/><Relationship Id="rId7" Type="http://schemas.openxmlformats.org/officeDocument/2006/relationships/hyperlink" Target="https://www.thebalance.com/foreign-tax-credit-319347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rs.gov/taxtopics/tc503"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5</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59</cp:revision>
  <dcterms:created xsi:type="dcterms:W3CDTF">2018-08-19T14:57:00Z</dcterms:created>
  <dcterms:modified xsi:type="dcterms:W3CDTF">2018-08-19T17:33:00Z</dcterms:modified>
</cp:coreProperties>
</file>